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E1F3A"/>
          <w:sz w:val="44"/>
        </w:rPr>
        <w:t>Modelo de resultados cualitativos para tesis de Derecho con ATLAS.ti</w:t>
      </w:r>
    </w:p>
    <w:p>
      <w:pPr>
        <w:jc w:val="center"/>
      </w:pPr>
      <w:r>
        <w:rPr>
          <w:color w:val="5C6670"/>
          <w:sz w:val="21"/>
        </w:rPr>
        <w:t>Guia para convertir codigos y categorias en hallazgos juridicamente argumentados</w:t>
      </w:r>
    </w:p>
    <w:p>
      <w:pPr>
        <w:jc w:val="center"/>
      </w:pPr>
      <w:r>
        <w:rPr>
          <w:color w:val="5C6670"/>
          <w:sz w:val="19"/>
        </w:rPr>
        <w:t>Michael Lincold Trujillo Pajuelo | 2026</w:t>
      </w:r>
    </w:p>
    <w:p/>
    <w:tbl>
      <w:tblPr>
        <w:tblW w:type="auto" w:w="0"/>
        <w:tblLook w:firstColumn="1" w:firstRow="1" w:lastColumn="0" w:lastRow="0" w:noHBand="0" w:noVBand="1" w:val="04A0"/>
      </w:tblPr>
      <w:tblGrid>
        <w:gridCol w:w="10224"/>
      </w:tblGrid>
      <w:tr>
        <w:tc>
          <w:tcPr>
            <w:tcW w:type="dxa" w:w="10224"/>
            <w:shd w:fill="FBF7F8"/>
          </w:tcPr>
          <w:p>
            <w:pPr>
              <w:spacing w:after="40"/>
            </w:pPr>
            <w:r>
              <w:rPr>
                <w:b/>
                <w:color w:val="6E1F3A"/>
              </w:rPr>
              <w:t xml:space="preserve">Objetivo. </w:t>
            </w:r>
            <w:r>
              <w:rPr>
                <w:color w:val="20242A"/>
              </w:rPr>
              <w:t>Evitar que el capitulo de resultados se convierta en una lista de frecuencias, capturas o citas sin analisis. ATLAS.ti entrega insumos; el resultado exige una afirmacion interpretativa sustentada.</w:t>
            </w:r>
          </w:p>
        </w:tc>
      </w:tr>
    </w:tbl>
    <w:p/>
    <w:p>
      <w:pPr>
        <w:pStyle w:val="Heading1"/>
      </w:pPr>
      <w:r>
        <w:t>1. Formula de un resultado defendible</w:t>
      </w:r>
    </w:p>
    <w:p>
      <w:r>
        <w:t>Afirmacion analitica + evidencia suficiente + variacion o caso de contraste + interpretacion juridica + vinculo con el objetivo especifico.</w:t>
      </w:r>
    </w:p>
    <w:p>
      <w:pPr>
        <w:pStyle w:val="Heading1"/>
      </w:pPr>
      <w:r>
        <w:t>2. Ejemplo pedagogico</w:t>
      </w:r>
    </w:p>
    <w:p>
      <w:r>
        <w:t>Tema didactico: garantias del derecho de defensa en un procedimiento administrativo sancionador.</w:t>
      </w:r>
    </w:p>
    <w:tbl>
      <w:tblPr>
        <w:tblStyle w:val="TableGrid"/>
        <w:tblW w:type="auto" w:w="0"/>
        <w:tblLook w:firstColumn="1" w:firstRow="1" w:lastColumn="0" w:lastRow="0" w:noHBand="0" w:noVBand="1" w:val="04A0"/>
      </w:tblPr>
      <w:tblGrid>
        <w:gridCol w:w="5112"/>
        <w:gridCol w:w="5112"/>
      </w:tblGrid>
      <w:tr>
        <w:tc>
          <w:tcPr>
            <w:tcW w:type="dxa" w:w="5112"/>
            <w:vAlign w:val="center"/>
            <w:shd w:fill="FBF7F8"/>
          </w:tcPr>
          <w:p>
            <w:r/>
            <w:r>
              <w:rPr>
                <w:b/>
                <w:color w:val="6E1F3A"/>
                <w:sz w:val="20"/>
              </w:rPr>
              <w:t>Patron</w:t>
            </w:r>
          </w:p>
        </w:tc>
        <w:tc>
          <w:tcPr>
            <w:tcW w:type="dxa" w:w="5112"/>
            <w:vAlign w:val="center"/>
          </w:tcPr>
          <w:p>
            <w:r/>
            <w:r>
              <w:rPr>
                <w:b w:val="0"/>
                <w:color w:val="20242A"/>
                <w:sz w:val="20"/>
              </w:rPr>
              <w:t>Varios participantes describen que el acceso al expediente ocurre cerca del vencimiento del plazo para presentar descargos.</w:t>
            </w:r>
          </w:p>
        </w:tc>
      </w:tr>
      <w:tr>
        <w:tc>
          <w:tcPr>
            <w:tcW w:type="dxa" w:w="5112"/>
            <w:vAlign w:val="center"/>
            <w:shd w:fill="FBF7F8"/>
          </w:tcPr>
          <w:p>
            <w:r/>
            <w:r>
              <w:rPr>
                <w:b/>
                <w:color w:val="6E1F3A"/>
                <w:sz w:val="20"/>
              </w:rPr>
              <w:t>Codigos vinculados</w:t>
            </w:r>
          </w:p>
        </w:tc>
        <w:tc>
          <w:tcPr>
            <w:tcW w:type="dxa" w:w="5112"/>
            <w:vAlign w:val="center"/>
          </w:tcPr>
          <w:p>
            <w:r/>
            <w:r>
              <w:rPr>
                <w:b w:val="0"/>
                <w:color w:val="20242A"/>
                <w:sz w:val="20"/>
              </w:rPr>
              <w:t>Acceso tardio al expediente; plazo material insuficiente; dificultad probatoria.</w:t>
            </w:r>
          </w:p>
        </w:tc>
      </w:tr>
      <w:tr>
        <w:tc>
          <w:tcPr>
            <w:tcW w:type="dxa" w:w="5112"/>
            <w:vAlign w:val="center"/>
            <w:shd w:fill="FBF7F8"/>
          </w:tcPr>
          <w:p>
            <w:r/>
            <w:r>
              <w:rPr>
                <w:b/>
                <w:color w:val="6E1F3A"/>
                <w:sz w:val="20"/>
              </w:rPr>
              <w:t>Categoria</w:t>
            </w:r>
          </w:p>
        </w:tc>
        <w:tc>
          <w:tcPr>
            <w:tcW w:type="dxa" w:w="5112"/>
            <w:vAlign w:val="center"/>
          </w:tcPr>
          <w:p>
            <w:r/>
            <w:r>
              <w:rPr>
                <w:b w:val="0"/>
                <w:color w:val="20242A"/>
                <w:sz w:val="20"/>
              </w:rPr>
              <w:t>Limitaciones materiales al ejercicio del derecho de defensa.</w:t>
            </w:r>
          </w:p>
        </w:tc>
      </w:tr>
      <w:tr>
        <w:tc>
          <w:tcPr>
            <w:tcW w:type="dxa" w:w="5112"/>
            <w:vAlign w:val="center"/>
            <w:shd w:fill="FBF7F8"/>
          </w:tcPr>
          <w:p>
            <w:r/>
            <w:r>
              <w:rPr>
                <w:b/>
                <w:color w:val="6E1F3A"/>
                <w:sz w:val="20"/>
              </w:rPr>
              <w:t>Caso de contraste</w:t>
            </w:r>
          </w:p>
        </w:tc>
        <w:tc>
          <w:tcPr>
            <w:tcW w:type="dxa" w:w="5112"/>
            <w:vAlign w:val="center"/>
          </w:tcPr>
          <w:p>
            <w:r/>
            <w:r>
              <w:rPr>
                <w:b w:val="0"/>
                <w:color w:val="20242A"/>
                <w:sz w:val="20"/>
              </w:rPr>
              <w:t>Funcionarios que sostienen que el plazo formal fue cumplido y que existian mecanismos de acceso previo.</w:t>
            </w:r>
          </w:p>
        </w:tc>
      </w:tr>
      <w:tr>
        <w:tc>
          <w:tcPr>
            <w:tcW w:type="dxa" w:w="5112"/>
            <w:vAlign w:val="center"/>
            <w:shd w:fill="FBF7F8"/>
          </w:tcPr>
          <w:p>
            <w:r/>
            <w:r>
              <w:rPr>
                <w:b/>
                <w:color w:val="6E1F3A"/>
                <w:sz w:val="20"/>
              </w:rPr>
              <w:t>Interpretacion</w:t>
            </w:r>
          </w:p>
        </w:tc>
        <w:tc>
          <w:tcPr>
            <w:tcW w:type="dxa" w:w="5112"/>
            <w:vAlign w:val="center"/>
          </w:tcPr>
          <w:p>
            <w:r/>
            <w:r>
              <w:rPr>
                <w:b w:val="0"/>
                <w:color w:val="20242A"/>
                <w:sz w:val="20"/>
              </w:rPr>
              <w:t>La tension no se ubica solo en la existencia formal del plazo, sino en el tiempo util disponible despues del acceso efectivo al expediente.</w:t>
            </w:r>
          </w:p>
        </w:tc>
      </w:tr>
    </w:tbl>
    <w:p/>
    <w:p>
      <w:pPr>
        <w:pStyle w:val="Heading1"/>
      </w:pPr>
      <w:r>
        <w:t>3. Modelo de parrafo de resultados</w:t>
      </w:r>
    </w:p>
    <w:p>
      <w:r>
        <w:t>El analisis de las entrevistas muestra una tension entre el cumplimiento formal del plazo y la disponibilidad material de tiempo para preparar los descargos. En los relatos de administrados y abogados, el acceso tardio al expediente aparece asociado con dificultades para revisar antecedentes y organizar medios probatorios. Este patron no fue uniforme: algunos funcionarios destacaron que los plazos previstos fueron observados y que existian vias de consulta previa. La divergencia sugiere que el problema investigado no puede explicarse exclusivamente por la duracion normativa del plazo, sino tambien por el momento en que el administrado obtiene acceso efectivo a la informacion necesaria para ejercer su defensa. Este hallazgo debe contrastarse posteriormente con el marco normativo y la documentacion del expediente.</w:t>
      </w:r>
    </w:p>
    <w:p>
      <w:pPr>
        <w:pStyle w:val="Heading1"/>
      </w:pPr>
      <w:r>
        <w:t>4. Como insertar citas de entrevistas</w:t>
      </w:r>
    </w:p>
    <w:p>
      <w:r>
        <w:t>Introduzca la cita para demostrar una afirmacion concreta, no como sustituto del analisis. Mantenga la identificacion anonima definida en el protocolo (por ejemplo, E03-Administrado) y explique antes o despues que aspecto de la cita resulta analiticamente relevante.</w:t>
      </w:r>
    </w:p>
    <w:p>
      <w:pPr>
        <w:pStyle w:val="Heading1"/>
      </w:pPr>
      <w:r>
        <w:t>5. Como usar tablas o redes de ATLAS.ti</w:t>
      </w:r>
    </w:p>
    <w:p>
      <w:pPr>
        <w:pStyle w:val="ListBullet"/>
      </w:pPr>
      <w:r>
        <w:t>Incluya una tabla solo si ayuda a comparar actores, documentos o categorias.</w:t>
      </w:r>
    </w:p>
    <w:p>
      <w:pPr>
        <w:pStyle w:val="ListBullet"/>
      </w:pPr>
      <w:r>
        <w:t>Explique que cuenta cada celda: codificaciones, documentos, palabras u otra unidad.</w:t>
      </w:r>
    </w:p>
    <w:p>
      <w:pPr>
        <w:pStyle w:val="ListBullet"/>
      </w:pPr>
      <w:r>
        <w:t>Si muestra coocurrencias, indique que representan proximidad/asociacion bajo el esquema de codificacion y no causalidad.</w:t>
      </w:r>
    </w:p>
    <w:p>
      <w:pPr>
        <w:pStyle w:val="ListBullet"/>
      </w:pPr>
      <w:r>
        <w:t>Una red debe tener una logica conceptual explicable; evite diagramas con decenas de nodos sin lectura posible.</w:t>
      </w:r>
    </w:p>
    <w:p>
      <w:pPr>
        <w:pStyle w:val="ListBullet"/>
      </w:pPr>
      <w:r>
        <w:t>No presente una captura del software como resultado autosuficiente.</w:t>
      </w:r>
    </w:p>
    <w:p>
      <w:pPr>
        <w:pStyle w:val="Heading1"/>
      </w:pPr>
      <w:r>
        <w:t>6. Plantilla para redactar cada hallazgo</w:t>
      </w:r>
    </w:p>
    <w:tbl>
      <w:tblPr>
        <w:tblStyle w:val="TableGrid"/>
        <w:tblW w:type="auto" w:w="0"/>
        <w:tblLook w:firstColumn="1" w:firstRow="1" w:lastColumn="0" w:lastRow="0" w:noHBand="0" w:noVBand="1" w:val="04A0"/>
      </w:tblPr>
      <w:tblGrid>
        <w:gridCol w:w="5112"/>
        <w:gridCol w:w="5112"/>
      </w:tblGrid>
      <w:tr>
        <w:tc>
          <w:tcPr>
            <w:tcW w:type="dxa" w:w="5112"/>
            <w:vAlign w:val="center"/>
            <w:shd w:fill="FBF7F8"/>
          </w:tcPr>
          <w:p>
            <w:r/>
            <w:r>
              <w:rPr>
                <w:b/>
                <w:color w:val="6E1F3A"/>
                <w:sz w:val="20"/>
              </w:rPr>
              <w:t>Titulo del hallazgo</w:t>
            </w:r>
          </w:p>
        </w:tc>
        <w:tc>
          <w:tcPr>
            <w:tcW w:type="dxa" w:w="5112"/>
            <w:vAlign w:val="center"/>
          </w:tcPr>
          <w:p>
            <w:r/>
            <w:r>
              <w:rPr>
                <w:b w:val="0"/>
                <w:color w:val="20242A"/>
                <w:sz w:val="20"/>
              </w:rPr>
            </w:r>
          </w:p>
        </w:tc>
      </w:tr>
      <w:tr>
        <w:tc>
          <w:tcPr>
            <w:tcW w:type="dxa" w:w="5112"/>
            <w:vAlign w:val="center"/>
            <w:shd w:fill="FBF7F8"/>
          </w:tcPr>
          <w:p>
            <w:r/>
            <w:r>
              <w:rPr>
                <w:b/>
                <w:color w:val="6E1F3A"/>
                <w:sz w:val="20"/>
              </w:rPr>
              <w:t>Objetivo especifico</w:t>
            </w:r>
          </w:p>
        </w:tc>
        <w:tc>
          <w:tcPr>
            <w:tcW w:type="dxa" w:w="5112"/>
            <w:vAlign w:val="center"/>
          </w:tcPr>
          <w:p>
            <w:r/>
            <w:r>
              <w:rPr>
                <w:b w:val="0"/>
                <w:color w:val="20242A"/>
                <w:sz w:val="20"/>
              </w:rPr>
            </w:r>
          </w:p>
        </w:tc>
      </w:tr>
      <w:tr>
        <w:tc>
          <w:tcPr>
            <w:tcW w:type="dxa" w:w="5112"/>
            <w:vAlign w:val="center"/>
            <w:shd w:fill="FBF7F8"/>
          </w:tcPr>
          <w:p>
            <w:r/>
            <w:r>
              <w:rPr>
                <w:b/>
                <w:color w:val="6E1F3A"/>
                <w:sz w:val="20"/>
              </w:rPr>
              <w:t>Afirmacion principal</w:t>
            </w:r>
          </w:p>
        </w:tc>
        <w:tc>
          <w:tcPr>
            <w:tcW w:type="dxa" w:w="5112"/>
            <w:vAlign w:val="center"/>
          </w:tcPr>
          <w:p>
            <w:r/>
            <w:r>
              <w:rPr>
                <w:b w:val="0"/>
                <w:color w:val="20242A"/>
                <w:sz w:val="20"/>
              </w:rPr>
            </w:r>
          </w:p>
        </w:tc>
      </w:tr>
      <w:tr>
        <w:tc>
          <w:tcPr>
            <w:tcW w:type="dxa" w:w="5112"/>
            <w:vAlign w:val="center"/>
            <w:shd w:fill="FBF7F8"/>
          </w:tcPr>
          <w:p>
            <w:r/>
            <w:r>
              <w:rPr>
                <w:b/>
                <w:color w:val="6E1F3A"/>
                <w:sz w:val="20"/>
              </w:rPr>
              <w:t>Categoria(s)</w:t>
            </w:r>
          </w:p>
        </w:tc>
        <w:tc>
          <w:tcPr>
            <w:tcW w:type="dxa" w:w="5112"/>
            <w:vAlign w:val="center"/>
          </w:tcPr>
          <w:p>
            <w:r/>
            <w:r>
              <w:rPr>
                <w:b w:val="0"/>
                <w:color w:val="20242A"/>
                <w:sz w:val="20"/>
              </w:rPr>
            </w:r>
          </w:p>
        </w:tc>
      </w:tr>
      <w:tr>
        <w:tc>
          <w:tcPr>
            <w:tcW w:type="dxa" w:w="5112"/>
            <w:vAlign w:val="center"/>
            <w:shd w:fill="FBF7F8"/>
          </w:tcPr>
          <w:p>
            <w:r/>
            <w:r>
              <w:rPr>
                <w:b/>
                <w:color w:val="6E1F3A"/>
                <w:sz w:val="20"/>
              </w:rPr>
              <w:t>Citas representativas</w:t>
            </w:r>
          </w:p>
        </w:tc>
        <w:tc>
          <w:tcPr>
            <w:tcW w:type="dxa" w:w="5112"/>
            <w:vAlign w:val="center"/>
          </w:tcPr>
          <w:p>
            <w:r/>
            <w:r>
              <w:rPr>
                <w:b w:val="0"/>
                <w:color w:val="20242A"/>
                <w:sz w:val="20"/>
              </w:rPr>
            </w:r>
          </w:p>
        </w:tc>
      </w:tr>
      <w:tr>
        <w:tc>
          <w:tcPr>
            <w:tcW w:type="dxa" w:w="5112"/>
            <w:vAlign w:val="center"/>
            <w:shd w:fill="FBF7F8"/>
          </w:tcPr>
          <w:p>
            <w:r/>
            <w:r>
              <w:rPr>
                <w:b/>
                <w:color w:val="6E1F3A"/>
                <w:sz w:val="20"/>
              </w:rPr>
              <w:t>Caso negativo/variacion</w:t>
            </w:r>
          </w:p>
        </w:tc>
        <w:tc>
          <w:tcPr>
            <w:tcW w:type="dxa" w:w="5112"/>
            <w:vAlign w:val="center"/>
          </w:tcPr>
          <w:p>
            <w:r/>
            <w:r>
              <w:rPr>
                <w:b w:val="0"/>
                <w:color w:val="20242A"/>
                <w:sz w:val="20"/>
              </w:rPr>
            </w:r>
          </w:p>
        </w:tc>
      </w:tr>
      <w:tr>
        <w:tc>
          <w:tcPr>
            <w:tcW w:type="dxa" w:w="5112"/>
            <w:vAlign w:val="center"/>
            <w:shd w:fill="FBF7F8"/>
          </w:tcPr>
          <w:p>
            <w:r/>
            <w:r>
              <w:rPr>
                <w:b/>
                <w:color w:val="6E1F3A"/>
                <w:sz w:val="20"/>
              </w:rPr>
              <w:t>Interpretacion juridica</w:t>
            </w:r>
          </w:p>
        </w:tc>
        <w:tc>
          <w:tcPr>
            <w:tcW w:type="dxa" w:w="5112"/>
            <w:vAlign w:val="center"/>
          </w:tcPr>
          <w:p>
            <w:r/>
            <w:r>
              <w:rPr>
                <w:b w:val="0"/>
                <w:color w:val="20242A"/>
                <w:sz w:val="20"/>
              </w:rPr>
            </w:r>
          </w:p>
        </w:tc>
      </w:tr>
      <w:tr>
        <w:tc>
          <w:tcPr>
            <w:tcW w:type="dxa" w:w="5112"/>
            <w:vAlign w:val="center"/>
            <w:shd w:fill="FBF7F8"/>
          </w:tcPr>
          <w:p>
            <w:r/>
            <w:r>
              <w:rPr>
                <w:b/>
                <w:color w:val="6E1F3A"/>
                <w:sz w:val="20"/>
              </w:rPr>
              <w:t>Figura/tabla de apoyo</w:t>
            </w:r>
          </w:p>
        </w:tc>
        <w:tc>
          <w:tcPr>
            <w:tcW w:type="dxa" w:w="5112"/>
            <w:vAlign w:val="center"/>
          </w:tcPr>
          <w:p>
            <w:r/>
            <w:r>
              <w:rPr>
                <w:b w:val="0"/>
                <w:color w:val="20242A"/>
                <w:sz w:val="20"/>
              </w:rPr>
            </w:r>
          </w:p>
        </w:tc>
      </w:tr>
      <w:tr>
        <w:tc>
          <w:tcPr>
            <w:tcW w:type="dxa" w:w="5112"/>
            <w:vAlign w:val="center"/>
            <w:shd w:fill="FBF7F8"/>
          </w:tcPr>
          <w:p>
            <w:r/>
            <w:r>
              <w:rPr>
                <w:b/>
                <w:color w:val="6E1F3A"/>
                <w:sz w:val="20"/>
              </w:rPr>
              <w:t>Limite del hallazgo</w:t>
            </w:r>
          </w:p>
        </w:tc>
        <w:tc>
          <w:tcPr>
            <w:tcW w:type="dxa" w:w="5112"/>
            <w:vAlign w:val="center"/>
          </w:tcPr>
          <w:p>
            <w:r/>
            <w:r>
              <w:rPr>
                <w:b w:val="0"/>
                <w:color w:val="20242A"/>
                <w:sz w:val="20"/>
              </w:rPr>
            </w:r>
          </w:p>
        </w:tc>
      </w:tr>
    </w:tbl>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024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6E1F3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6E1F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6E1F3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